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Дело № </w:t>
      </w:r>
      <w:r>
        <w:rPr>
          <w:rFonts w:ascii="Times New Roman" w:eastAsia="Times New Roman" w:hAnsi="Times New Roman" w:cs="Times New Roman"/>
          <w:sz w:val="22"/>
          <w:szCs w:val="22"/>
        </w:rPr>
        <w:t>5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0913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26</w:t>
      </w:r>
      <w:r>
        <w:rPr>
          <w:rFonts w:ascii="Times New Roman" w:eastAsia="Times New Roman" w:hAnsi="Times New Roman" w:cs="Times New Roman"/>
          <w:sz w:val="22"/>
          <w:szCs w:val="22"/>
        </w:rPr>
        <w:t>02</w:t>
      </w:r>
      <w:r>
        <w:rPr>
          <w:rFonts w:ascii="Times New Roman" w:eastAsia="Times New Roman" w:hAnsi="Times New Roman" w:cs="Times New Roman"/>
          <w:sz w:val="22"/>
          <w:szCs w:val="22"/>
        </w:rPr>
        <w:t>/</w:t>
      </w:r>
      <w:r>
        <w:rPr>
          <w:rFonts w:ascii="Times New Roman" w:eastAsia="Times New Roman" w:hAnsi="Times New Roman" w:cs="Times New Roman"/>
          <w:sz w:val="22"/>
          <w:szCs w:val="22"/>
        </w:rPr>
        <w:t>20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 О С Т А Н О В Л Е Н И 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tabs>
          <w:tab w:val="left" w:pos="3615"/>
        </w:tabs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город Сургут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17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Бордунов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М.Б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расположенного по адресу: </w:t>
      </w:r>
      <w:r>
        <w:rPr>
          <w:rFonts w:ascii="Times New Roman" w:eastAsia="Times New Roman" w:hAnsi="Times New Roman" w:cs="Times New Roman"/>
          <w:sz w:val="26"/>
          <w:szCs w:val="26"/>
        </w:rPr>
        <w:t>ХМАО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Югра, г. Сургут, ул. Гагарина, д.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308,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материалы дела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должностного лица </w:t>
      </w:r>
      <w:r>
        <w:rPr>
          <w:rStyle w:val="cat-UserDefinedgrp-37rplc-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Голосняк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Александра Андреевича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38rplc-9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spacing w:before="0" w:after="0"/>
        <w:ind w:right="21"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</w:t>
      </w:r>
      <w:r>
        <w:rPr>
          <w:rFonts w:ascii="Times New Roman" w:eastAsia="Times New Roman" w:hAnsi="Times New Roman" w:cs="Times New Roman"/>
          <w:sz w:val="26"/>
          <w:szCs w:val="26"/>
        </w:rPr>
        <w:t>онарушения, предусмотренного ч.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ст.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КоАП РФ,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18.04.2026 в 00 час. 01 мин.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должностное лицо – </w:t>
      </w:r>
      <w:r>
        <w:rPr>
          <w:rStyle w:val="cat-UserDefinedgrp-39rplc-1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Голосняк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А.А</w:t>
      </w:r>
      <w:r>
        <w:rPr>
          <w:rFonts w:ascii="Times New Roman" w:eastAsia="Times New Roman" w:hAnsi="Times New Roman" w:cs="Times New Roman"/>
          <w:sz w:val="26"/>
          <w:szCs w:val="26"/>
        </w:rPr>
        <w:t>. повторно, в течении года не выполнил в установленный срок до 17.04.2026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 законного предписания от 26.05.2025 № 2505/012-86/163-В/</w:t>
      </w:r>
      <w:r>
        <w:rPr>
          <w:rFonts w:ascii="Times New Roman" w:eastAsia="Times New Roman" w:hAnsi="Times New Roman" w:cs="Times New Roman"/>
          <w:sz w:val="26"/>
          <w:szCs w:val="26"/>
        </w:rPr>
        <w:t>ПВП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органа (должностного лица), осуществляющего государственный надзор (контроль), об устранении нарушений противопожарного законодательства.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Голосняк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в судебное заседание не явился, извещен надлежащим образом, о причинах неявки суд не уведомил, ходатайств не заявлял. При указанных обстоятельствах суд рассмотрел дело в отсутствие </w:t>
      </w:r>
      <w:r>
        <w:rPr>
          <w:rFonts w:ascii="Times New Roman" w:eastAsia="Times New Roman" w:hAnsi="Times New Roman" w:cs="Times New Roman"/>
          <w:sz w:val="26"/>
          <w:szCs w:val="26"/>
        </w:rPr>
        <w:t>Голосняка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Изучив материалы дела, суд пришел к следующим выводам.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подтверждение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Голосняк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правонарушения в материалы дела представительны следующие документы: протокол об административном правонарушении от 22.05.2026;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копия решения о проведении выездной проверки; выписка из </w:t>
      </w:r>
      <w:r>
        <w:rPr>
          <w:rFonts w:ascii="Times New Roman" w:eastAsia="Times New Roman" w:hAnsi="Times New Roman" w:cs="Times New Roman"/>
          <w:sz w:val="26"/>
          <w:szCs w:val="26"/>
        </w:rPr>
        <w:t>ЕГРЮЛ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40rplc-2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копия решения о согласовании мест расположения земельных участков; копия устава </w:t>
      </w:r>
      <w:r>
        <w:rPr>
          <w:rFonts w:ascii="Times New Roman" w:eastAsia="Times New Roman" w:hAnsi="Times New Roman" w:cs="Times New Roman"/>
          <w:sz w:val="26"/>
          <w:szCs w:val="26"/>
        </w:rPr>
        <w:t>СТСН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41rplc-2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; уведомление о явке; предписание от 26.05.2025 № 2505/012-86/163-В/</w:t>
      </w:r>
      <w:r>
        <w:rPr>
          <w:rFonts w:ascii="Times New Roman" w:eastAsia="Times New Roman" w:hAnsi="Times New Roman" w:cs="Times New Roman"/>
          <w:sz w:val="26"/>
          <w:szCs w:val="26"/>
        </w:rPr>
        <w:t>ПВП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копия протокола осмотра от 15.05.2026 с </w:t>
      </w:r>
      <w:r>
        <w:rPr>
          <w:rFonts w:ascii="Times New Roman" w:eastAsia="Times New Roman" w:hAnsi="Times New Roman" w:cs="Times New Roman"/>
          <w:sz w:val="26"/>
          <w:szCs w:val="26"/>
        </w:rPr>
        <w:t>фототаблицей</w:t>
      </w:r>
      <w:r>
        <w:rPr>
          <w:rFonts w:ascii="Times New Roman" w:eastAsia="Times New Roman" w:hAnsi="Times New Roman" w:cs="Times New Roman"/>
          <w:sz w:val="26"/>
          <w:szCs w:val="26"/>
        </w:rPr>
        <w:t>; объяснения; акт выездной проверки от 22.05.2026;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копия постановления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Style w:val="cat-UserDefinedgrp-42rplc-2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силу ст. 38 Федерального закона от 21 декабря 1994 года № 69-ФЗ «О пожарной безопасности» ответственность за нарушение требований пожарной безопасности в соответствии с действующим законодательством несут: собственники имущества; руководители федеральных органов исполнительной власти; руководители органов местного самоуправления; лица, уполномоченные владеть, пользоваться или распоряжаться имуществом, в том числе руководители организаций; лица, в установленном порядке назначенные ответственными за обеспечение пожарной безопасности; должностные лица в пределах их компетенции. Ответственность за нарушение требований пожарной безопасности для квартир (комнат) в домах государственного, муниципального и ведомственного жилищного фонда возлагается на ответственных квартиросъемщиков или арендаторов, если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иное не предусмотрено соответствующим договором. Лица, указанные в части первой настоящей статьи, иные граждане за нарушение требований пожарной безопасности, а также за иные правонарушения в области </w:t>
      </w:r>
      <w:hyperlink w:anchor="sub_500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пожарной безопасности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могут быть привлечены к дисциплинарной,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административной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или уголовной ответственности в соответствии с действующим законодательством.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п. 75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Постановления Правительства РФ от 16 сентября 2020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г. N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1479 "Об утверждении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Правил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противопожарного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режима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Российской Федерации"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органами местного самоуправления, за исключением случаев, предусмотренных законодательством Российской Федерации, для целей пожаротушения создаются источники наружного противопожарного водоснабжения, а также условия для забора в любое время года воды из источников и систем наружного противопожарного водоснабжения, расположенных в населенных пунктах и на прилегающих к ним территориях. При наличии на территориях населенных пунктов, территории садоводства или огородничества, а также на других объектах защиты или вблизи них (в радиусе 200 метров) естественных или искусственных </w:t>
      </w:r>
      <w:r>
        <w:rPr>
          <w:rFonts w:ascii="Times New Roman" w:eastAsia="Times New Roman" w:hAnsi="Times New Roman" w:cs="Times New Roman"/>
          <w:sz w:val="26"/>
          <w:szCs w:val="26"/>
        </w:rPr>
        <w:t>водоисточников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(река, озеро, бассейн, градирня и др.) к ним должны быть устроены подъезды с площадками (пирсами) с твердым покрытием размером не менее 12 х 12 метров для установки пожарных автомобилей и забора воды в любое время года, за исключением случаев, когда территория населенного пункта, объекта защиты и находящиеся на них здания и сооружения обеспечены источниками противопожарного водоснабжения.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п. 48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Постановления Правительства РФ от 16 сентября 2020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г. N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1479 "Об утверждении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Правил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противопожарного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режима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в Российской Федерации"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руководитель организации извещает подразделение пожарной охраны при отключении участков водопроводной сети и (или) пожарных гидрантов, находящихся на территории организации, а также в случае уменьшения давления в водопроводной сети ниже требуемого. Руководитель организации обеспечивает исправность, своевременное обслуживание и ремонт наружного противопожарного водоснабжения, находящегося в зоне эксплуатационной ответственности организации, и организует проведение проверок на водоотдачу не реже 2 раз в год (весной и осенью) с внесением информации в журнал эксплуатации систем противопожарной защиты. Направление движения к источникам наружного противопожарного водоснабжения обозначается указателями со светоотражающей поверхностью либо световыми указателями, подключенными к сети электроснабжения и включенными в ночное время или постоянно, с четко нанесенными цифрами расстояния до их месторасположения.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п. 71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Постановления Правительства РФ от 16 сентября 2020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г. N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1479 "Об утверждении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Правил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противопожарного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режима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в Российской Федерации"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правообладатели земельных участков обеспечивают надлежащее техническое содержание (в любое время года) дорог, проездов и подъездов к зданиям, сооружениям, строениям и наружным установкам, открытым складам, наружным пожарным лестницам и пожарным гидрантам, резервуарам, естественным и искусственным водоемам, являющимся источниками наружного противопожарного водоснабжения. Запрещается использовать для стоянки автомобилей на территории населенных пунктов, предприятий и организаций площадки для пожарной техники, включая разворотные, предназначенные для ее установки, в том числе для забора воды, подачи средств тушения, доступа пожарных на объект защиты. Не допускается перекрывать проезды для пожарно</w:t>
      </w:r>
      <w:r>
        <w:rPr>
          <w:rFonts w:ascii="Times New Roman" w:eastAsia="Times New Roman" w:hAnsi="Times New Roman" w:cs="Times New Roman"/>
          <w:sz w:val="26"/>
          <w:szCs w:val="26"/>
        </w:rPr>
        <w:t>й техники изделиями и предметами, посадкой крупногабаритных деревьев, исключающими или ограничивающими проезд пожарной техники, доступ пожарных в этажи зданий, сооружений либо снижающими размеры проездов, подъездов, установленные требованиями пожарной без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опасности. Система противопожарной защиты в случае пожара должна обеспечивать автоматическую разблокировку и (или) открывание шлагбаумов, ворот, ограждений и иных технических средств, установленных на проездах и подъездах, а также нахождение их в открытом положении для обеспечения беспрепятственного проезда пожарной техники. Допускается ручное открывание при организации круглосуточного дежурства персонала непосредственно у места установки шлагбаума, ворот, ограждения и иных технических средств на проездах или дистанционно при устройстве видео- и (или) </w:t>
      </w:r>
      <w:r>
        <w:rPr>
          <w:rFonts w:ascii="Times New Roman" w:eastAsia="Times New Roman" w:hAnsi="Times New Roman" w:cs="Times New Roman"/>
          <w:sz w:val="26"/>
          <w:szCs w:val="26"/>
        </w:rPr>
        <w:t>аудиосвязи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местом их установки. У въезда на территорию строительных площадок, открытых плоскостных автостоянок и гаражей, а также на территорию садоводства или огородничества вывешиваются схемы с обозначением въездов, подъездов, пожарных проездов и источников противопожарного водоснабжения. Физическим лицам запрещается препятствовать работе подразделений пожарной охраны, в том числе в пути следования подразделений пожарной охраны к месту пожара.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ст. 4.6 КоАП РФ 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постановления о назначении административного наказания.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Совокупность представленных доказательств, позволяет суду сделать вывод о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Голосняк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А.А</w:t>
      </w:r>
      <w:r>
        <w:rPr>
          <w:rFonts w:ascii="Times New Roman" w:eastAsia="Times New Roman" w:hAnsi="Times New Roman" w:cs="Times New Roman"/>
          <w:sz w:val="26"/>
          <w:szCs w:val="26"/>
        </w:rPr>
        <w:t>. в совершении инкриминируемого правонарушения.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Голосняк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мировой судья квалифицирует по ч. 14 ст. 19.5 КоАП РФ, как </w:t>
      </w:r>
      <w:r>
        <w:rPr>
          <w:rFonts w:ascii="Times New Roman" w:eastAsia="Times New Roman" w:hAnsi="Times New Roman" w:cs="Times New Roman"/>
          <w:sz w:val="26"/>
          <w:szCs w:val="26"/>
        </w:rPr>
        <w:t>повторное совершение административного правонарушения, предусмотренного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5" w:anchor="/document/12125267/entry/1951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частью 12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5" w:anchor="/document/12125267/entry/19513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13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настоящей статьи.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смягчающих административную ответственность, предусмотренных ст. 4.2 КоАП РФ, судом не установлено.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отягчающих административную ответственность, предусмотренных ст. 4.3 </w:t>
      </w:r>
      <w:r>
        <w:rPr>
          <w:rFonts w:ascii="Times New Roman" w:eastAsia="Times New Roman" w:hAnsi="Times New Roman" w:cs="Times New Roman"/>
          <w:sz w:val="26"/>
          <w:szCs w:val="26"/>
        </w:rPr>
        <w:t>КоАП РФ, суд не усматривает.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Суд не усматривает оснований освобождения должностного лица от административной ответственности в связи с малозначительностью, в соответствии со </w:t>
      </w:r>
      <w:r>
        <w:rPr>
          <w:rFonts w:ascii="Times New Roman" w:eastAsia="Times New Roman" w:hAnsi="Times New Roman" w:cs="Times New Roman"/>
          <w:sz w:val="26"/>
          <w:szCs w:val="26"/>
        </w:rPr>
        <w:t>ст.2.9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мнению суда, нарушение требований пожарной безопасности, которое может повлечь гибель людей, не может быть признано малозначительным.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определении меры наказания суд учитывает характер и степень общественной опасности правонарушения, обстоятельства правонарушения, принятие мер юридическим лицом для устранения выявленных нарушений надзорным органом.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ст. ст. 29.9 - 29.11 КоАП РФ, суд,</w:t>
      </w: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ind w:firstLine="709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firstLine="709"/>
        <w:jc w:val="center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Голосняк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Александра Андреевича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признать виновным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 14 ст. 19.5 КоАП РФ, и назначить ему административное наказание в виде административного штрафа в размере 15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000 </w:t>
      </w:r>
      <w:r>
        <w:rPr>
          <w:rFonts w:ascii="Times New Roman" w:eastAsia="Times New Roman" w:hAnsi="Times New Roman" w:cs="Times New Roman"/>
          <w:sz w:val="26"/>
          <w:szCs w:val="26"/>
        </w:rPr>
        <w:t>(пятнадцати тысяч)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Ханты-Мансийского автономного округа – Югры путем подачи жалобы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в течение десяти дней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М.Б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Бордунов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-Югры ______________________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М.Б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>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17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июня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2026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находится в деле </w:t>
      </w:r>
      <w:r>
        <w:rPr>
          <w:rFonts w:ascii="Times New Roman" w:eastAsia="Times New Roman" w:hAnsi="Times New Roman" w:cs="Times New Roman"/>
          <w:sz w:val="20"/>
          <w:szCs w:val="20"/>
        </w:rPr>
        <w:t>№ 5-</w:t>
      </w:r>
      <w:r>
        <w:rPr>
          <w:rFonts w:ascii="Times New Roman" w:eastAsia="Times New Roman" w:hAnsi="Times New Roman" w:cs="Times New Roman"/>
          <w:sz w:val="20"/>
          <w:szCs w:val="20"/>
        </w:rPr>
        <w:t>0913</w:t>
      </w:r>
      <w:r>
        <w:rPr>
          <w:rFonts w:ascii="Times New Roman" w:eastAsia="Times New Roman" w:hAnsi="Times New Roman" w:cs="Times New Roman"/>
          <w:sz w:val="20"/>
          <w:szCs w:val="20"/>
        </w:rPr>
        <w:t>-2602/202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</w:t>
      </w:r>
      <w:r>
        <w:rPr>
          <w:rFonts w:ascii="Times New Roman" w:eastAsia="Times New Roman" w:hAnsi="Times New Roman" w:cs="Times New Roman"/>
          <w:sz w:val="20"/>
          <w:szCs w:val="20"/>
        </w:rPr>
        <w:t>. Куликова</w:t>
      </w:r>
    </w:p>
    <w:p>
      <w:pPr>
        <w:spacing w:before="0" w:after="0"/>
        <w:jc w:val="both"/>
        <w:rPr>
          <w:sz w:val="22"/>
          <w:szCs w:val="22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Административный штраф перечислять на реквизиты: получатель: </w:t>
      </w:r>
      <w:r>
        <w:rPr>
          <w:rFonts w:ascii="Times New Roman" w:eastAsia="Times New Roman" w:hAnsi="Times New Roman" w:cs="Times New Roman"/>
          <w:sz w:val="20"/>
          <w:szCs w:val="20"/>
        </w:rPr>
        <w:t>УФК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Ханты-Мансийскому автономному округу-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Югре (Департамент административного обеспечения Ханты-Мансийского автономного округа-Югры л/с </w:t>
      </w:r>
      <w:r>
        <w:rPr>
          <w:rFonts w:ascii="Times New Roman" w:eastAsia="Times New Roman" w:hAnsi="Times New Roman" w:cs="Times New Roman"/>
          <w:sz w:val="20"/>
          <w:szCs w:val="20"/>
        </w:rPr>
        <w:t>04872D08080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), Банк: </w:t>
      </w:r>
      <w:r>
        <w:rPr>
          <w:rFonts w:ascii="Times New Roman" w:eastAsia="Times New Roman" w:hAnsi="Times New Roman" w:cs="Times New Roman"/>
          <w:sz w:val="20"/>
          <w:szCs w:val="20"/>
        </w:rPr>
        <w:t>ОКЦ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№ 8 УГУ Банка России//</w:t>
      </w:r>
      <w:r>
        <w:rPr>
          <w:rFonts w:ascii="Times New Roman" w:eastAsia="Times New Roman" w:hAnsi="Times New Roman" w:cs="Times New Roman"/>
          <w:sz w:val="20"/>
          <w:szCs w:val="20"/>
        </w:rPr>
        <w:t>УФК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Ханты-Мансийскому автономному округу-Югре г. Ханты-Мансийск, счет получателя(номер казначейского счета): 03100643000000018700, банковский счет, входящий в состав единого казначейского счета (</w:t>
      </w:r>
      <w:r>
        <w:rPr>
          <w:rFonts w:ascii="Times New Roman" w:eastAsia="Times New Roman" w:hAnsi="Times New Roman" w:cs="Times New Roman"/>
          <w:sz w:val="20"/>
          <w:szCs w:val="20"/>
        </w:rPr>
        <w:t>ЕКС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)40102810245370000007, </w:t>
      </w:r>
      <w:r>
        <w:rPr>
          <w:rFonts w:ascii="Times New Roman" w:eastAsia="Times New Roman" w:hAnsi="Times New Roman" w:cs="Times New Roman"/>
          <w:sz w:val="20"/>
          <w:szCs w:val="20"/>
        </w:rPr>
        <w:t>БИК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007162163, </w:t>
      </w:r>
      <w:r>
        <w:rPr>
          <w:rFonts w:ascii="Times New Roman" w:eastAsia="Times New Roman" w:hAnsi="Times New Roman" w:cs="Times New Roman"/>
          <w:sz w:val="20"/>
          <w:szCs w:val="20"/>
        </w:rPr>
        <w:t>ОКТМО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71876000, ИНН 8601073664, </w:t>
      </w:r>
      <w:r>
        <w:rPr>
          <w:rFonts w:ascii="Times New Roman" w:eastAsia="Times New Roman" w:hAnsi="Times New Roman" w:cs="Times New Roman"/>
          <w:sz w:val="20"/>
          <w:szCs w:val="20"/>
        </w:rPr>
        <w:t>КПП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860101001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КБК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72011601193010012140,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0412365400575009132619118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jc w:val="both"/>
        <w:rPr>
          <w:sz w:val="18"/>
          <w:szCs w:val="18"/>
        </w:rPr>
      </w:pPr>
    </w:p>
    <w:p>
      <w:pPr>
        <w:spacing w:before="0" w:after="0"/>
        <w:ind w:firstLine="708"/>
        <w:jc w:val="both"/>
        <w:rPr>
          <w:sz w:val="18"/>
          <w:szCs w:val="18"/>
        </w:rPr>
      </w:pPr>
    </w:p>
    <w:p>
      <w:pPr>
        <w:spacing w:before="0" w:after="0"/>
        <w:jc w:val="both"/>
        <w:rPr>
          <w:sz w:val="22"/>
          <w:szCs w:val="22"/>
        </w:rPr>
      </w:pPr>
    </w:p>
    <w:p>
      <w:pPr>
        <w:spacing w:before="0" w:after="0"/>
        <w:jc w:val="both"/>
        <w:rPr>
          <w:sz w:val="28"/>
          <w:szCs w:val="28"/>
        </w:rPr>
      </w:pPr>
    </w:p>
    <w:sectPr>
      <w:headerReference w:type="default" r:id="rId6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7672869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7rplc-5">
    <w:name w:val="cat-UserDefined grp-37 rplc-5"/>
    <w:basedOn w:val="DefaultParagraphFont"/>
  </w:style>
  <w:style w:type="character" w:customStyle="1" w:styleId="cat-UserDefinedgrp-38rplc-9">
    <w:name w:val="cat-UserDefined grp-38 rplc-9"/>
    <w:basedOn w:val="DefaultParagraphFont"/>
  </w:style>
  <w:style w:type="character" w:customStyle="1" w:styleId="cat-UserDefinedgrp-39rplc-16">
    <w:name w:val="cat-UserDefined grp-39 rplc-16"/>
    <w:basedOn w:val="DefaultParagraphFont"/>
  </w:style>
  <w:style w:type="character" w:customStyle="1" w:styleId="cat-UserDefinedgrp-40rplc-24">
    <w:name w:val="cat-UserDefined grp-40 rplc-24"/>
    <w:basedOn w:val="DefaultParagraphFont"/>
  </w:style>
  <w:style w:type="character" w:customStyle="1" w:styleId="cat-UserDefinedgrp-41rplc-25">
    <w:name w:val="cat-UserDefined grp-41 rplc-25"/>
    <w:basedOn w:val="DefaultParagraphFont"/>
  </w:style>
  <w:style w:type="character" w:customStyle="1" w:styleId="cat-UserDefinedgrp-42rplc-29">
    <w:name w:val="cat-UserDefined grp-42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04" TargetMode="External" /><Relationship Id="rId5" Type="http://schemas.openxmlformats.org/officeDocument/2006/relationships/hyperlink" Target="https://internet.garant.ru/" TargetMode="External" /><Relationship Id="rId6" Type="http://schemas.openxmlformats.org/officeDocument/2006/relationships/header" Target="header1.xml" /><Relationship Id="rId7" Type="http://schemas.openxmlformats.org/officeDocument/2006/relationships/glossaryDocument" Target="glossary/document.xml" /><Relationship Id="rId8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67B38-A1BB-4364-9F63-C72226C57DFA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